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3864"/>
          <w:sz w:val="40"/>
          <w:szCs w:val="40"/>
        </w:rPr>
        <w:t xml:space="preserve">LOREN BROWN</w:t>
      </w:r>
    </w:p>
    <w:p>
      <w:pPr>
        <w:spacing w:after="60"/>
      </w:pPr>
      <w:r>
        <w:rPr>
          <w:rFonts w:ascii="Calibri" w:cs="Calibri" w:eastAsia="Calibri" w:hAnsi="Calibri"/>
          <w:color w:val="404040"/>
          <w:spacing w:val="30"/>
          <w:sz w:val="24"/>
          <w:szCs w:val="24"/>
        </w:rPr>
        <w:t xml:space="preserve">CHIEF MARKETING OFFICER</w:t>
      </w:r>
    </w:p>
    <w:p>
      <w:pPr>
        <w:spacing w:after="160"/>
      </w:pPr>
      <w:r>
        <w:rPr>
          <w:rFonts w:ascii="Calibri" w:cs="Calibri" w:eastAsia="Calibri" w:hAnsi="Calibri"/>
          <w:color w:val="404040"/>
          <w:sz w:val="19"/>
          <w:szCs w:val="19"/>
        </w:rPr>
        <w:t xml:space="preserve">Austin, Texas  ·  (949) 677-8318  ·  Loren@LorenBrown.com  ·  linkedin.com/in/lorenbrown</w:t>
      </w:r>
    </w:p>
    <w:p>
      <w:pPr>
        <w:pBdr>
          <w:bottom w:val="single" w:color="1F3864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3864"/>
          <w:spacing w:val="20"/>
          <w:sz w:val="23"/>
          <w:szCs w:val="23"/>
        </w:rPr>
        <w:t xml:space="preserve">SUMMARY</w:t>
      </w:r>
    </w:p>
    <w:p>
      <w:pPr>
        <w:spacing w:after="120"/>
      </w:pPr>
      <w:r>
        <w:rPr>
          <w:rFonts w:ascii="Calibri" w:cs="Calibri" w:eastAsia="Calibri" w:hAnsi="Calibri"/>
          <w:sz w:val="19"/>
          <w:szCs w:val="19"/>
        </w:rPr>
        <w:t xml:space="preserve">Chief Marketing Officer who has twice built marketing organizations that carried companies from early stage to market leadership — including ShiftKey, where marketing drove growth from roughly $10M to a $2B valuation in under three years. Twenty-plus years spanning venture-backed B2B SaaS, healthcare workforce technology, proptech, and Fortune 100 enterprise accounts. Builds revenue marketing engines from zero: demand generation, ABM, category creation, product marketing, brand, and full-funnel attribution. Early and practical adopter of AI across content production, campaign operations, and go-to-market execution. Held Agency of Record status across three AT&amp;T divisions for thirteen years.</w:t>
      </w:r>
    </w:p>
    <w:p>
      <w:pPr>
        <w:pBdr>
          <w:bottom w:val="single" w:color="1F3864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3864"/>
          <w:spacing w:val="20"/>
          <w:sz w:val="23"/>
          <w:szCs w:val="23"/>
        </w:rPr>
        <w:t xml:space="preserve">CORE COMPETENCIES</w:t>
      </w:r>
    </w:p>
    <w:p>
      <w:pPr>
        <w:spacing w:after="120"/>
      </w:pPr>
      <w:r>
        <w:rPr>
          <w:rFonts w:ascii="Calibri" w:cs="Calibri" w:eastAsia="Calibri" w:hAnsi="Calibri"/>
          <w:sz w:val="19"/>
          <w:szCs w:val="19"/>
        </w:rPr>
        <w:t xml:space="preserve">Go-to-Market Strategy · Demand Generation · Account-Based Marketing (ABM) · Revenue Marketing · Pipeline Growth · Category Creation · Product Marketing · Brand Strategy · Marketing Attribution · Marketing Analytics · AI-Enabled Marketing Operations · Content Strategy · SEO / SEM · Programmatic Media · Paid Social · Media Buying · Marketing Budget &amp; Forecasting · Team Building &amp; Leadership · Executive &amp; Board Communication · Fundraising Support · M&amp;A Integration · Enterprise &amp; Fortune 100 Client Management · Higher Education &amp; Public Sector GTM · Product Launch · Partner &amp; Channel Marketing</w:t>
      </w:r>
    </w:p>
    <w:p>
      <w:pPr>
        <w:pBdr>
          <w:bottom w:val="single" w:color="1F3864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3864"/>
          <w:spacing w:val="20"/>
          <w:sz w:val="23"/>
          <w:szCs w:val="23"/>
        </w:rPr>
        <w:t xml:space="preserve">PROFESSIONAL EXPERIENCE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Chief Marketing Officer</w:t>
      </w:r>
      <w:r>
        <w:rPr>
          <w:rFonts w:ascii="Calibri" w:cs="Calibri" w:eastAsia="Calibri" w:hAnsi="Calibri"/>
          <w:color w:val="404040"/>
          <w:sz w:val="21"/>
          <w:szCs w:val="21"/>
        </w:rPr>
        <w:t xml:space="preserve">  |  Occuspace, Inc.</w:t>
      </w:r>
    </w:p>
    <w:p>
      <w:pPr>
        <w:spacing w:after="60"/>
      </w:pPr>
      <w:r>
        <w:rPr>
          <w:rFonts w:ascii="Calibri" w:cs="Calibri" w:eastAsia="Calibri" w:hAnsi="Calibri"/>
          <w:color w:val="595959"/>
          <w:sz w:val="18"/>
          <w:szCs w:val="18"/>
        </w:rPr>
        <w:t xml:space="preserve">Austin, Texas  ·  February 2024 – Present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404040"/>
          <w:sz w:val="18"/>
          <w:szCs w:val="18"/>
        </w:rPr>
        <w:t xml:space="preserve">Venture-backed space utilization and occupancy intelligence platform serving 100+ colleges and universities and dozens of Fortune 500 enterprises. $14M raised to date.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Own full marketing strategy and execution as the company's first CMO, spanning demand generation, product marketing, brand, content, and go-to-market across higher education, commercial real estate, and federal sectors.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Led marketing and positioning through the company's $6M Series A (March 2025, led by Lewis &amp; Clark Ventures with Shadow Ventures, Okapi Ventures, Cove Fund, and Hamilton Ventures), bringing total funding to $14M.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Supported sustained growth of more than 100% year over year, expanding the customer base to 100+ higher education institutions.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Expanded higher education footprint by 80+ new institutional customers while growing deployments across 20 existing campuses.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Built the go-to-market motion for a new federal vertical, supporting a partnership addressing 180M+ square feet of federal real estate.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Directed the launch of a next-generation micro sensor product line targeting meeting rooms and flex spaces, opening the commercial office segment.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Created the company's flagship original research program — a national space utilization index analyzing 10,000 spaces across 40M+ square feet at 100+ campuses — establishing category authority and generating national trade and business press coverage.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Built and scaled the marketing technology and attribution stack; deployed AI across content production, campaign operations, and research synthesis to hold agency-quality output at startup headcount.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Rebuilt go-to-market operations around AI, delivering in near real time what previously required teams of 15+, and growing pipeline 5x in 16 months against competitors with 10x the capital.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Chief Marketing Officer  /  Vice President of Marketing</w:t>
      </w:r>
      <w:r>
        <w:rPr>
          <w:rFonts w:ascii="Calibri" w:cs="Calibri" w:eastAsia="Calibri" w:hAnsi="Calibri"/>
          <w:color w:val="404040"/>
          <w:sz w:val="21"/>
          <w:szCs w:val="21"/>
        </w:rPr>
        <w:t xml:space="preserve">  |  ShiftKey, LLC</w:t>
      </w:r>
    </w:p>
    <w:p>
      <w:pPr>
        <w:spacing w:after="60"/>
      </w:pPr>
      <w:r>
        <w:rPr>
          <w:rFonts w:ascii="Calibri" w:cs="Calibri" w:eastAsia="Calibri" w:hAnsi="Calibri"/>
          <w:color w:val="595959"/>
          <w:sz w:val="18"/>
          <w:szCs w:val="18"/>
        </w:rPr>
        <w:t xml:space="preserve">Irving, Texas  ·  September 2018 – January 2024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404040"/>
          <w:sz w:val="18"/>
          <w:szCs w:val="18"/>
        </w:rPr>
        <w:t xml:space="preserve">Healthcare workforce marketplace connecting independent licensed professionals with facilities nationwide. Grew from approximately $10M to a $2B valuation during tenure.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Founded and built the marketing organization from zero to 30+ employees in 2.5 years, spanning demand generation, brand, creative, content, product marketing, affiliate, and influencer functions.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Drove growth by a factor of 20 in two years — from roughly $10M to a $2B valuation — establishing category leadership in healthcare workforce technology.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Designed and executed multi-channel acquisition programs targeting both supply (licensed healthcare professionals) and demand (hospitals and post-acute facilities) sides of the marketplace.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Built a nationwide AI-driven nurse recruitment engine that expanded per-diem supply nearly twentyfold, making ShiftKey the platform of choice for hospitals and directly improving revenue and margin.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Built an automated real-time customer support system linking chat keywords to rich media content — eliminating the daily unanswered ticket backlog while improving user experience and reducing cost.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Owned the marketing P&amp;L, budget forecasting, and board-level performance reporting; ran full-cycle media buying, contract negotiation, and channel-level attribution to optimize return on marketing investment.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Partnered with executive leadership through the acquisition of OnShift, roughly doubling corporate scope, and led brand and communications integration.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Recruited, hired, and developed 25+ internal and external specialists including digital strategists, conversion copywriters, designers, and affiliate teams.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Co-Founder &amp; Chief Marketing Officer</w:t>
      </w:r>
      <w:r>
        <w:rPr>
          <w:rFonts w:ascii="Calibri" w:cs="Calibri" w:eastAsia="Calibri" w:hAnsi="Calibri"/>
          <w:color w:val="404040"/>
          <w:sz w:val="21"/>
          <w:szCs w:val="21"/>
        </w:rPr>
        <w:t xml:space="preserve">  |  PlanView Communications</w:t>
      </w:r>
    </w:p>
    <w:p>
      <w:pPr>
        <w:spacing w:after="60"/>
      </w:pPr>
      <w:r>
        <w:rPr>
          <w:rFonts w:ascii="Calibri" w:cs="Calibri" w:eastAsia="Calibri" w:hAnsi="Calibri"/>
          <w:color w:val="595959"/>
          <w:sz w:val="18"/>
          <w:szCs w:val="18"/>
        </w:rPr>
        <w:t xml:space="preserve">Austin, Texas  ·  April 2003 – August 2020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404040"/>
          <w:sz w:val="18"/>
          <w:szCs w:val="18"/>
        </w:rPr>
        <w:t xml:space="preserve">Full-service creative and digital marketing agency serving mid-market through Fortune 100 clients across telecom, technology, real estate, and consumer categories.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Co-founded and led the agency for 17 years, building the client roster to 40+ brands including AT&amp;T, Samsung, Canon USA, AARP, Accenture, Lennar Homes, National Instruments, Sharp, and ViewSonic.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Earned and held Agency of Record status across three AT&amp;T divisions — AT&amp;T Mobility, AT&amp;T Global, and AT&amp;T Business — for thirteen consecutive years.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Designed and delivered a proprietary SaaS-style cloud fulfillment platform that replaced AT&amp;T's legacy asset request and fulfillment protocols across those divisions.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Delivered advanced digital capability to enterprise clients including SEM/SEO, programmatic display, mobile device ID targeting, and poly-geofencing.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Built and sustained direct relationships with Fortune 100 executives and business owners; led market research, vendor evaluation, and strategy for every account.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Engaged with ShiftKey as an external marketing department before joining full-time to build the internal organization.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Creative Services Division Director</w:t>
      </w:r>
      <w:r>
        <w:rPr>
          <w:rFonts w:ascii="Calibri" w:cs="Calibri" w:eastAsia="Calibri" w:hAnsi="Calibri"/>
          <w:color w:val="404040"/>
          <w:sz w:val="21"/>
          <w:szCs w:val="21"/>
        </w:rPr>
        <w:t xml:space="preserve">  |  FORMA, Inc.</w:t>
      </w:r>
    </w:p>
    <w:p>
      <w:pPr>
        <w:spacing w:after="60"/>
      </w:pPr>
      <w:r>
        <w:rPr>
          <w:rFonts w:ascii="Calibri" w:cs="Calibri" w:eastAsia="Calibri" w:hAnsi="Calibri"/>
          <w:color w:val="595959"/>
          <w:sz w:val="18"/>
          <w:szCs w:val="18"/>
        </w:rPr>
        <w:t xml:space="preserve">Irvine, California  ·  September 2001 – April 2003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404040"/>
          <w:sz w:val="18"/>
          <w:szCs w:val="18"/>
        </w:rPr>
        <w:t xml:space="preserve">Architecture and land development consulting firm serving national builders and municipalities across the southwestern United States.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Launched and led a new interactive division delivering 2D/3D visualization, business communications, and multimedia marketing to major land developers.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Hired and managed a team of 20+ designers, animators, programmers, and project managers.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Served national builders and public agencies including Ladera Ranch, Greer Ranch, and the Cities of Irvine, Newport Beach, and Palm Springs.</w:t>
      </w:r>
    </w:p>
    <w:p>
      <w:pPr>
        <w:pBdr>
          <w:bottom w:val="single" w:color="1F3864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3864"/>
          <w:spacing w:val="20"/>
          <w:sz w:val="23"/>
          <w:szCs w:val="23"/>
        </w:rPr>
        <w:t xml:space="preserve">EDUCATION</w:t>
      </w:r>
    </w:p>
    <w:p>
      <w:p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Bachelor of Business Administration, Management (Minor: Marketing)</w:t>
      </w:r>
    </w:p>
    <w:p>
      <w:pPr>
        <w:spacing w:after="60"/>
      </w:pPr>
      <w:r>
        <w:rPr>
          <w:rFonts w:ascii="Calibri" w:cs="Calibri" w:eastAsia="Calibri" w:hAnsi="Calibri"/>
          <w:color w:val="595959"/>
          <w:sz w:val="18"/>
          <w:szCs w:val="18"/>
        </w:rPr>
        <w:t xml:space="preserve">George Fox University  ·  Newberg, Oregon</w:t>
      </w:r>
    </w:p>
    <w:p>
      <w:pPr>
        <w:pBdr>
          <w:bottom w:val="single" w:color="1F3864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3864"/>
          <w:spacing w:val="20"/>
          <w:sz w:val="23"/>
          <w:szCs w:val="23"/>
        </w:rPr>
        <w:t xml:space="preserve">TECHNICAL SKILLS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Marketing &amp; Analytics: HubSpot, Marketo, Salesforce, Google Analytics 4, Looker, Mixpanel, Intercom, TypeForm, Google Search Ads, Meta Ads, LinkedIn Campaign Manager, TikTok Ads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AI &amp; Automation: Claude, ChatGPT, AI content and campaign operations, generative creative production, research synthesis, marketing workflow automation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Web &amp; Product: WordPress, Headless CMS architectures, HTML, landing page and conversion optimization, A/B testing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Creative Production: Adobe Creative Suite, DaVinci Resolve, Cinema4D, Pro Tools, broadcast and studio video production, FAA-certified commercial drone and aerial cinematography</w:t>
      </w:r>
    </w:p>
    <w:p>
      <w:pPr>
        <w:spacing w:after="120"/>
      </w:pPr>
      <w:r>
        <w:rPr>
          <w:rFonts w:ascii="Calibri" w:cs="Calibri" w:eastAsia="Calibri" w:hAnsi="Calibri"/>
          <w:sz w:val="19"/>
          <w:szCs w:val="19"/>
        </w:rPr>
        <w:t xml:space="preserve">Operations: Asana, Jira, Miro, Slack, Notion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2026-08-15T19:46:23.092Z</dcterms:created>
  <dcterms:modified xsi:type="dcterms:W3CDTF">2026-08-15T19:46:23.092Z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